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pPr>
        <w:spacing w:after="100"/>
        <w:jc w:val="center"/>
      </w:pPr>
      <w:r>
        <w:rPr>
          <w:rFonts w:ascii="Microsoft YaHei" w:hAnsi="Microsoft YaHei" w:eastAsia="Microsoft YaHei"/>
          <w:b/>
          <w:color w:val="1F4D78"/>
          <w:sz w:val="50"/>
        </w:rPr>
        <w:t>Surfer GRD 可视化与推拉工具</w:t>
      </w:r>
    </w:p>
    <w:p>
      <w:pPr>
        <w:spacing w:after="360"/>
        <w:jc w:val="center"/>
      </w:pPr>
      <w:r>
        <w:rPr>
          <w:rFonts w:ascii="Microsoft YaHei" w:hAnsi="Microsoft YaHei" w:eastAsia="Microsoft YaHei"/>
          <w:b w:val="0"/>
          <w:color w:val="5C6972"/>
          <w:sz w:val="28"/>
        </w:rPr>
        <w:t>使用说明与测试数据验证指南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872"/>
        <w:gridCol w:w="7488"/>
      </w:tblGrid>
      <w:tr>
        <w:tc>
          <w:tcPr>
            <w:tcW w:type="dxa" w:w="4680"/>
            <w:vAlign w:val="center"/>
          </w:tcPr>
          <w:p>
            <w:r>
              <w:rPr>
                <w:rFonts w:ascii="Microsoft YaHei" w:hAnsi="Microsoft YaHei" w:eastAsia="Microsoft YaHei"/>
                <w:b/>
                <w:color w:val="1F4D78"/>
                <w:sz w:val="19"/>
              </w:rPr>
              <w:t>工具文件</w:t>
            </w:r>
          </w:p>
        </w:tc>
        <w:tc>
          <w:tcPr>
            <w:tcW w:type="dxa" w:w="468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9"/>
              </w:rPr>
              <w:t>surfer-grd-editor.html</w:t>
            </w:r>
          </w:p>
        </w:tc>
      </w:tr>
      <w:tr>
        <w:tc>
          <w:tcPr>
            <w:tcW w:type="dxa" w:w="4680"/>
            <w:vAlign w:val="center"/>
          </w:tcPr>
          <w:p>
            <w:r>
              <w:rPr>
                <w:rFonts w:ascii="Microsoft YaHei" w:hAnsi="Microsoft YaHei" w:eastAsia="Microsoft YaHei"/>
                <w:b/>
                <w:color w:val="1F4D78"/>
                <w:sz w:val="19"/>
              </w:rPr>
              <w:t>支持输入</w:t>
            </w:r>
          </w:p>
        </w:tc>
        <w:tc>
          <w:tcPr>
            <w:tcW w:type="dxa" w:w="468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9"/>
              </w:rPr>
              <w:t>Surfer 7 DSRB 网格、Surfer BLN 多边形</w:t>
            </w:r>
          </w:p>
        </w:tc>
      </w:tr>
      <w:tr>
        <w:tc>
          <w:tcPr>
            <w:tcW w:type="dxa" w:w="4680"/>
            <w:vAlign w:val="center"/>
          </w:tcPr>
          <w:p>
            <w:r>
              <w:rPr>
                <w:rFonts w:ascii="Microsoft YaHei" w:hAnsi="Microsoft YaHei" w:eastAsia="Microsoft YaHei"/>
                <w:b/>
                <w:color w:val="1F4D78"/>
                <w:sz w:val="19"/>
              </w:rPr>
              <w:t>主要用途</w:t>
            </w:r>
          </w:p>
        </w:tc>
        <w:tc>
          <w:tcPr>
            <w:tcW w:type="dxa" w:w="468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9"/>
              </w:rPr>
              <w:t>网格核对、Post/等值线显示、区域 Pull、权值笔刷、区域滤波与节点编辑</w:t>
            </w:r>
          </w:p>
        </w:tc>
      </w:tr>
    </w:tbl>
    <w:p>
      <w:pPr>
        <w:pStyle w:val="Heading1"/>
      </w:pPr>
      <w:r>
        <w:t>1. 快速开始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双击 surfer-grd-editor.html，在浏览器中打开工具。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点击顶部“打开 GRD”，选择测试数据中的 Line_5_r100_c1_s0.2.grd。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检查左侧网格信息与本说明的预期值一致，再加载 BLN。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在 BLN 图层列表中，将地形边界设为“地形”，推拉边界设为“推拉区域”。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修改前先确认目标区域；操作过量可点顶部“撤销”或按 Ctrl+Z。</w:t>
      </w:r>
    </w:p>
    <w:p>
      <w:pPr>
        <w:pStyle w:val="Heading1"/>
      </w:pPr>
      <w:r>
        <w:t>2. 测试数据与读取验收</w:t>
      </w:r>
    </w:p>
    <w:p>
      <w:r>
        <w:t>测试数据文件夹包含一个 DSRB 网格、两个地形边界以及一个推拉区域。首先用下表核对 GRD 是否正确读取。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检查项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预期值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说明</w:t>
            </w:r>
          </w:p>
        </w:tc>
      </w:tr>
      <w:tr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网格尺寸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37 列 × 23 行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 左小右大，Y 下小上大</w:t>
            </w:r>
          </w:p>
        </w:tc>
      </w:tr>
      <w:tr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 范围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0–180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横向坐标</w:t>
            </w:r>
          </w:p>
        </w:tc>
      </w:tr>
      <w:tr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Y 范围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100–212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深度/高程坐标</w:t>
            </w:r>
          </w:p>
        </w:tc>
      </w:tr>
      <w:tr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左下角 Z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474.191813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X=0，Y=100</w:t>
            </w:r>
          </w:p>
        </w:tc>
      </w:tr>
      <w:tr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右下角 Z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848.855099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X=180，Y=100</w:t>
            </w:r>
          </w:p>
        </w:tc>
      </w:tr>
      <w:tr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右上角 Z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49.802105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X=180，Y=212</w:t>
            </w:r>
          </w:p>
        </w:tc>
      </w:tr>
      <w:tr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左上角 Z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约 0</w:t>
            </w:r>
          </w:p>
        </w:tc>
        <w:tc>
          <w:tcPr>
            <w:tcW w:type="dxa" w:w="3120"/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2.548248×10⁻⁹</w:t>
            </w:r>
          </w:p>
        </w:tc>
      </w:tr>
    </w:tbl>
    <w:p>
      <w:pPr>
        <w:pStyle w:val="Heading1"/>
      </w:pPr>
      <w:r>
        <w:t>3. 显示与导航</w:t>
      </w:r>
    </w:p>
    <w:p>
      <w:r>
        <w:rPr>
          <w:rFonts w:ascii="Microsoft YaHei" w:hAnsi="Microsoft YaHei" w:eastAsia="Microsoft YaHei"/>
          <w:b/>
          <w:color w:val="1F4D78"/>
          <w:sz w:val="21"/>
        </w:rPr>
        <w:t>坐标轴：</w:t>
      </w:r>
      <w:r>
        <w:rPr>
          <w:rFonts w:ascii="Microsoft YaHei" w:hAnsi="Microsoft YaHei" w:eastAsia="Microsoft YaHei"/>
          <w:b w:val="0"/>
          <w:sz w:val="21"/>
        </w:rPr>
        <w:t>X 轴位于底边，Y 轴位于左边；刻度采用 1/2/5 系列整间隔并随图形平移。</w:t>
      </w:r>
    </w:p>
    <w:p>
      <w:r>
        <w:rPr>
          <w:rFonts w:ascii="Microsoft YaHei" w:hAnsi="Microsoft YaHei" w:eastAsia="Microsoft YaHei"/>
          <w:b/>
          <w:color w:val="1F4D78"/>
          <w:sz w:val="21"/>
        </w:rPr>
        <w:t>缩放与平移：</w:t>
      </w:r>
      <w:r>
        <w:rPr>
          <w:rFonts w:ascii="Microsoft YaHei" w:hAnsi="Microsoft YaHei" w:eastAsia="Microsoft YaHei"/>
          <w:b w:val="0"/>
          <w:sz w:val="21"/>
        </w:rPr>
        <w:t>滚轮缩放；按住鼠标中键拖动图面。</w:t>
      </w:r>
    </w:p>
    <w:p>
      <w:r>
        <w:rPr>
          <w:rFonts w:ascii="Microsoft YaHei" w:hAnsi="Microsoft YaHei" w:eastAsia="Microsoft YaHei"/>
          <w:b/>
          <w:color w:val="1F4D78"/>
          <w:sz w:val="21"/>
        </w:rPr>
        <w:t>Post 图层：</w:t>
      </w:r>
      <w:r>
        <w:rPr>
          <w:rFonts w:ascii="Microsoft YaHei" w:hAnsi="Microsoft YaHei" w:eastAsia="Microsoft YaHei"/>
          <w:b w:val="0"/>
          <w:sz w:val="21"/>
        </w:rPr>
        <w:t>显示“+”和节点值。可设置显示间隔、小数位数、自动字号或手动字号。</w:t>
      </w:r>
    </w:p>
    <w:p>
      <w:r>
        <w:rPr>
          <w:rFonts w:ascii="Microsoft YaHei" w:hAnsi="Microsoft YaHei" w:eastAsia="Microsoft YaHei"/>
          <w:b/>
          <w:color w:val="1F4D78"/>
          <w:sz w:val="21"/>
        </w:rPr>
        <w:t>等值线：</w:t>
      </w:r>
      <w:r>
        <w:rPr>
          <w:rFonts w:ascii="Microsoft YaHei" w:hAnsi="Microsoft YaHei" w:eastAsia="Microsoft YaHei"/>
          <w:b w:val="0"/>
          <w:sz w:val="21"/>
        </w:rPr>
        <w:t>可开关并设置等值线间隔。</w:t>
      </w:r>
    </w:p>
    <w:p>
      <w:pPr>
        <w:pStyle w:val="Heading1"/>
      </w:pPr>
      <w:r>
        <w:t>4. BLN 图层与区域</w:t>
      </w:r>
    </w:p>
    <w:p>
      <w:r>
        <w:t>每个 BLN 可以单独设置角色，也可以用图层右侧的 × 删除误加载文件。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sz w:val="21"/>
        </w:rPr>
        <w:t>地形：黑色加粗实线，内部白色填充，用于遮挡地形以上/以外的图像。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sz w:val="21"/>
        </w:rPr>
        <w:t>推拉区域：红色加粗实线，内部透明，可作为 Pull 和滤波目标。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sz w:val="21"/>
        </w:rPr>
        <w:t>手绘区域：点击“手绘推拉区域”，单击逐点绘制，双击结束。</w:t>
      </w:r>
    </w:p>
    <w:p>
      <w:pPr>
        <w:pStyle w:val="Heading1"/>
      </w:pPr>
      <w:r>
        <w:t>5. Pull 与权值笔刷</w:t>
      </w:r>
    </w:p>
    <w:p>
      <w:pPr>
        <w:pStyle w:val="Heading2"/>
      </w:pPr>
      <w:r>
        <w:t>5.1 BLN/手绘区域 Pull</w:t>
      </w:r>
    </w:p>
    <w:p>
      <w:r>
        <w:t>选择目标区域后，可选择按当前 Z 比例或固定变化量。建议使用比例模式和中心权重：区域中心修改多，靠近边界修改少，边界降为 0；下压值始终不小于 0。</w:t>
      </w:r>
    </w:p>
    <w:p>
      <w:pPr>
        <w:pStyle w:val="Heading2"/>
      </w:pPr>
      <w:r>
        <w:t>5.2 圆形/椭圆权值笔刷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设置圆形半径，或椭圆 A、B、旋转角度。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选择上拉/下压、每次变化比例和边缘权值指数。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点击“启用跟随鼠标笔刷”，轮廓跟随鼠标。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单击应用一次，重复点击会累计；下压不会产生负值。</w:t>
      </w:r>
    </w:p>
    <w:p>
      <w:pPr>
        <w:pStyle w:val="Heading1"/>
      </w:pPr>
      <w:r>
        <w:t>6. 区域滤波</w:t>
      </w:r>
    </w:p>
    <w:p>
      <w:r>
        <w:t>滤波作用范围可选择区域内部、区域外部或全部网格。内部/外部模式需要先选择推拉区域；全部网格无需 BLN。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rFonts w:ascii="Microsoft YaHei" w:hAnsi="Microsoft YaHei" w:eastAsia="Microsoft YaHei"/>
                <w:b w:val="0"/>
                <w:sz w:val="19"/>
              </w:rPr>
              <w:t>算法</w:t>
            </w:r>
          </w:p>
        </w:tc>
        <w:tc>
          <w:tcPr>
            <w:tcW w:type="dxa" w:w="4680"/>
          </w:tcPr>
          <w:p>
            <w:r>
              <w:rPr>
                <w:rFonts w:ascii="Microsoft YaHei" w:hAnsi="Microsoft YaHei" w:eastAsia="Microsoft YaHei"/>
                <w:b w:val="0"/>
                <w:sz w:val="19"/>
              </w:rPr>
              <w:t>适用场景</w:t>
            </w:r>
          </w:p>
        </w:tc>
      </w:tr>
      <w:tr>
        <w:tc>
          <w:tcPr>
            <w:tcW w:type="dxa" w:w="4680"/>
          </w:tcPr>
          <w:p>
            <w:r>
              <w:rPr>
                <w:rFonts w:ascii="Microsoft YaHei" w:hAnsi="Microsoft YaHei" w:eastAsia="Microsoft YaHei"/>
                <w:b w:val="0"/>
                <w:sz w:val="19"/>
              </w:rPr>
              <w:t>高斯矩阵</w:t>
            </w:r>
          </w:p>
        </w:tc>
        <w:tc>
          <w:tcPr>
            <w:tcW w:type="dxa" w:w="4680"/>
          </w:tcPr>
          <w:p>
            <w:r>
              <w:rPr>
                <w:rFonts w:ascii="Microsoft YaHei" w:hAnsi="Microsoft YaHei" w:eastAsia="Microsoft YaHei"/>
                <w:b w:val="0"/>
                <w:sz w:val="19"/>
              </w:rPr>
              <w:t>一般平滑；中心权重大、四周权重小。</w:t>
            </w:r>
          </w:p>
        </w:tc>
      </w:tr>
      <w:tr>
        <w:tc>
          <w:tcPr>
            <w:tcW w:type="dxa" w:w="4680"/>
          </w:tcPr>
          <w:p>
            <w:r>
              <w:rPr>
                <w:rFonts w:ascii="Microsoft YaHei" w:hAnsi="Microsoft YaHei" w:eastAsia="Microsoft YaHei"/>
                <w:b w:val="0"/>
                <w:sz w:val="19"/>
              </w:rPr>
              <w:t>双边滤波</w:t>
            </w:r>
          </w:p>
        </w:tc>
        <w:tc>
          <w:tcPr>
            <w:tcW w:type="dxa" w:w="4680"/>
          </w:tcPr>
          <w:p>
            <w:r>
              <w:rPr>
                <w:rFonts w:ascii="Microsoft YaHei" w:hAnsi="Microsoft YaHei" w:eastAsia="Microsoft YaHei"/>
                <w:b w:val="0"/>
                <w:sz w:val="19"/>
              </w:rPr>
              <w:t>平滑噪声，同时尽量保留数值突变和等值线边缘。</w:t>
            </w:r>
          </w:p>
        </w:tc>
      </w:tr>
    </w:tbl>
    <w:p>
      <w:r>
        <w:t>建议先用 5×5、1 次、强度 50%–100%、边界渐弱 2 格；滤波过强时用 Ctrl+Z 撤销。</w:t>
      </w:r>
    </w:p>
    <w:p>
      <w:pPr>
        <w:pStyle w:val="Heading1"/>
      </w:pPr>
      <w:r>
        <w:t>7. 网格加密与节点编辑</w:t>
      </w:r>
    </w:p>
    <w:p>
      <w:pPr>
        <w:pStyle w:val="Heading2"/>
      </w:pPr>
      <w:r>
        <w:t>7.1 插值加密</w:t>
      </w:r>
    </w:p>
    <w:p>
      <w:r>
        <w:t>可仅加密 X、仅加密 Y 或同时加密。每个原间隔拆分为 N 段，坐标范围保持不变。加密后 Post 自动按新网格刷新并显示新的行列数。</w:t>
      </w:r>
    </w:p>
    <w:p>
      <w:pPr>
        <w:pStyle w:val="Heading2"/>
      </w:pPr>
      <w:r>
        <w:t>7.2 节点修改</w:t>
      </w:r>
    </w:p>
    <w:p>
      <w:r>
        <w:t>浏览模式下双击图面会吸附最近节点，输入新 Z 后确认。也可点击“用鼠标选择节点”，在右侧编辑器修改后应用。</w:t>
      </w:r>
    </w:p>
    <w:p>
      <w:pPr>
        <w:pStyle w:val="Heading1"/>
      </w:pPr>
      <w:r>
        <w:t>8. 撤销、重做与导出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sz w:val="21"/>
        </w:rPr>
        <w:t>顶部“撤销/重做”支持最近 30 步。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sz w:val="21"/>
        </w:rPr>
        <w:t>Ctrl+Z 撤销；Ctrl+Y 或 Ctrl+Shift+Z 重做。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sz w:val="21"/>
        </w:rPr>
        <w:t>导出格式为 DSAA ASCII GRD；输出保留当前网格尺寸、坐标范围和修改后的 Z。</w:t>
      </w:r>
    </w:p>
    <w:p>
      <w:pPr>
        <w:pStyle w:val="Heading1"/>
      </w:pPr>
      <w:r>
        <w:t>9. 建议测试流程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加载 GRD，核对尺寸、范围与四角值。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加载 Line_5_top.bln 和 Line_5_bottom.bln，设为地形；内部应白色填充。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加载 L5渣堆区域.bln，设为推拉区域；应显示红色实线且内部透明。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启用 Post，设置 1 位小数；将手动字号改为 12，确认文字变化。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对推拉区域执行 5% 中心权重下压，检查中心变化大、边界变化小且无负值。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执行区域内部 5×5 双边滤波，再撤销和重做。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X/Y 同时 2 倍加密，确认尺寸变为 73 列 × 45 行，Post 刷新。</w:t>
      </w:r>
    </w:p>
    <w:p>
      <w:pPr>
        <w:pStyle w:val="ListNumber"/>
      </w:pPr>
      <w:r>
        <w:rPr>
          <w:rFonts w:ascii="Microsoft YaHei" w:hAnsi="Microsoft YaHei" w:eastAsia="Microsoft YaHei"/>
          <w:b w:val="0"/>
          <w:sz w:val="21"/>
        </w:rPr>
        <w:t>双击一个节点修改 Z，确认色彩图、Post 和等值线同步更新。</w:t>
      </w:r>
    </w:p>
    <w:p>
      <w:pPr>
        <w:pStyle w:val="Heading1"/>
      </w:pPr>
      <w:r>
        <w:t>10. 注意事项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sz w:val="21"/>
        </w:rPr>
        <w:t>当前直接读取 Surfer 7 DSRB；导出为通用 DSAA。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sz w:val="21"/>
        </w:rPr>
        <w:t>高密度 Post 会遮挡图面，建议提高 Post 间隔或缩小字号。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sz w:val="21"/>
        </w:rPr>
        <w:t>连续笔刷、滤波和加密会累计改变数据；重要操作前先导出备份。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sz w:val="21"/>
        </w:rPr>
        <w:t>BLN 坐标必须与 GRD 使用同一坐标系。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b w:val="0"/>
        <w:color w:val="5C6972"/>
        <w:sz w:val="17"/>
      </w:rPr>
      <w:t>Surfer GRD 可视化与推拉工具使用说明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Microsoft YaHei" w:hAnsi="Microsoft YaHei" w:eastAsia="Microsoft YaHei"/>
        <w:b w:val="0"/>
        <w:color w:val="5C6972"/>
        <w:sz w:val="17"/>
      </w:rPr>
      <w:t>GRID STUDIO  |  Surfer GRD Pull Tool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